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color w:val="dc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color w:val="dc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dc0000"/>
          <w:sz w:val="28"/>
          <w:szCs w:val="28"/>
          <w:rtl w:val="0"/>
        </w:rPr>
        <w:t xml:space="preserve">FICHA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color w:val="d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Premio Especial de Datos Abiertos en la Gestión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Desde su creación, Ciudadanos al Día a través de diferentes iniciativas como el Premio Buenas Prácticas en Gestión Pública, ha promovido una mayor transparencia, acceso a la información pública y rendición de cuentas por parte de las entidades del Estado, con el fin de propiciar un clima de confianza y bienestar en la sociedad, así como garantizar un buen desempeño de la gestión pública. Bajo dicho marco, a partir del 2015, con el apoyo de la Fundación Hivos, Ciudadanos al Día viene desarrollando esfuerzos para promover una cultura de información y comunicación en datos abiertos en la gestión pública, como un reto adicional de la administración pública para incrementar el valor público en la sociedad.</w:t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Definición de datos abiertos en la gestión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entiende por datos abiertos en la gestión pública a aquellos datos que son producidos por las entidades de la administración pública en el ejercicio de su función, que son puestos a disposición de la ciudadanía en forma gratuita y en un formato que puede ser procesado por una máquina, sin limitaciones de derechos de propiedad intelectual, pero resguardando la atribución y autenticidad del dato. Dichos datos pueden ser utilizados, reutilizados y redistribuidos por cualquier persona con el fin de generar valor y bienestar en la sociedad.</w:t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datos abiertos en la gestión pública deben ser consistentes con lo establecido en la Constitución Política del Perú (1993) y los derechos fundamentales que en ella se sustentan, así como la normatividad vigente relacionada a la transparencia y el acceso a la información pública, la seguridad nacional, la protección de datos personales y las comunicaciones. </w:t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entidades de la administración pública que optan por los datos abiertos,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asumen una gestión activa de la difusión de la información – en lugar de esperar a que éstos sean solicitados por los ciudadanos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así como la implementación de procesos que aseguren la calidad de los datos (en términos de acopio, procesamiento, diseminación, promoción de uso, y mantenimiento), la generación de marcos normativos y directrices internas que aseguren su sostenibilidad, y el uso creciente de nuevas tecnologías para garantizar llegar a un mayor número de personas a menores costos de transacción. </w:t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center"/>
        <w:rPr>
          <w:rFonts w:ascii="Arial" w:cs="Arial" w:eastAsia="Arial" w:hAnsi="Arial"/>
          <w:color w:val="d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dc0000"/>
          <w:sz w:val="24"/>
          <w:szCs w:val="24"/>
          <w:rtl w:val="0"/>
        </w:rPr>
        <w:t xml:space="preserve">FICHA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>
          <w:rFonts w:ascii="Arial" w:cs="Arial" w:eastAsia="Arial" w:hAnsi="Arial"/>
          <w:color w:val="d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Premio Especial de Datos Abiertos en la Gestión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de la postulación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(igual al indicado en el Informe de Postulación)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 la institución que postula: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 la categoría a la que postula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(igual al indicado en el Informe de Postulación):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Párrafo – Resumen: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Describa brevemente la experiencia en datos abiertos: ¿qué datos se liberaron y por qué? ¿bajo qué mecanismo se liberaron? ¿cómo los datos han sido utilizados por terceros? ¿qué beneficios para determinados grupos de interés o ciudadanía en general se ha producido?)</w:t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37"/>
        <w:tblGridChange w:id="0">
          <w:tblGrid>
            <w:gridCol w:w="85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</w:p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Información para la Evaluación de experiencias de Datos Abiertos en la Gestión Pública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5.1 Criterios generales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la dirección del Sitio Web de la experiencia y en el siguiente párrafo, describa cómo los datos cumplen con los siguientes requisitos: </w:t>
      </w:r>
    </w:p>
    <w:p w:rsidR="00000000" w:rsidDel="00000000" w:rsidP="00000000" w:rsidRDefault="00000000" w:rsidRPr="00000000" w14:paraId="0000003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Gratuidad: la ciudadanía puede acceder a los datos de forma gratuita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Formato accesible: los datos se presentan en formatos que pueden ser leídos por máquinas o computadoras de manera sistemática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Re-uso y redistribución:  los datos pueden ser reusados y redistribuidos sin limitación de derechos de propiedad intelectual, resguardando su atribución y su autenticidad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Universalidad: los datos pueden ser obtenidos y utilizados por la ciudadanía sin discriminación alguna. </w:t>
      </w:r>
    </w:p>
    <w:p w:rsidR="00000000" w:rsidDel="00000000" w:rsidP="00000000" w:rsidRDefault="00000000" w:rsidRPr="00000000" w14:paraId="00000036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Dirección del Sitio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web público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37"/>
        <w:tblGridChange w:id="0">
          <w:tblGrid>
            <w:gridCol w:w="85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37"/>
        <w:tblGridChange w:id="0">
          <w:tblGrid>
            <w:gridCol w:w="85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</w:p>
          <w:p w:rsidR="00000000" w:rsidDel="00000000" w:rsidP="00000000" w:rsidRDefault="00000000" w:rsidRPr="00000000" w14:paraId="0000003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5.2 Criterios institucionales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tabs>
          <w:tab w:val="left" w:leader="none" w:pos="284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Compromiso institucional.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Indique si la entidad ha establecido un marco normativo (sectorial o interno), políticas o planes para hacer visible su compromiso por los datos abiertos y promover la implementación de acciones y actividades concretas. Citar los números de los dispositivos, fechas de publicación, sitios web donde se encuentre ubicado, o cualquier otra evidencia que haga visible su divulgación interna y/o externa.</w:t>
      </w:r>
    </w:p>
    <w:p w:rsidR="00000000" w:rsidDel="00000000" w:rsidP="00000000" w:rsidRDefault="00000000" w:rsidRPr="00000000" w14:paraId="00000046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111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11"/>
        <w:tblGridChange w:id="0">
          <w:tblGrid>
            <w:gridCol w:w="8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tabs>
          <w:tab w:val="left" w:leader="none" w:pos="284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Designación de responsable: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Indique si la entidad ha establecido una persona, dirección o área encargada de la implementación, monitoreo y evaluación de políticas y planes de datos abiertos en la entidad. Citar los números de los dispositivos, fechas de publicación, sitios web donde se encuentre ubicado, o cualquier otra evidencia que haga visible la divulgación interna y/o externa de la designación.</w:t>
      </w:r>
    </w:p>
    <w:p w:rsidR="00000000" w:rsidDel="00000000" w:rsidP="00000000" w:rsidRDefault="00000000" w:rsidRPr="00000000" w14:paraId="0000004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11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11"/>
        <w:tblGridChange w:id="0">
          <w:tblGrid>
            <w:gridCol w:w="8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tabs>
          <w:tab w:val="left" w:leader="none" w:pos="284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Aseguramiento de la Calidad: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Indique si la entidad ha establecido procesos y procedimientos para asegurar la calidad de los datos en todas sus fases: acopio, procesamiento, distribución, difusión y mantenimiento. Citar los números de los dispositivos, fechas de publicación, sitios web donde se encuentre ubicado, o cualquier otra evidencia que haga visible su divulgación interna y/o externa.</w:t>
      </w:r>
    </w:p>
    <w:p w:rsidR="00000000" w:rsidDel="00000000" w:rsidP="00000000" w:rsidRDefault="00000000" w:rsidRPr="00000000" w14:paraId="0000005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111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11"/>
        <w:tblGridChange w:id="0">
          <w:tblGrid>
            <w:gridCol w:w="8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5.3 Criterios de publicación de 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en el siguiente párrafo qué mecanismos se han establecido para identificar y priorizar los datos que se ponen a disposición de los ciudadanos. Dichos mecanismos pueden ser:</w:t>
      </w:r>
    </w:p>
    <w:p w:rsidR="00000000" w:rsidDel="00000000" w:rsidP="00000000" w:rsidRDefault="00000000" w:rsidRPr="00000000" w14:paraId="00000065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Identificación interna: Los servidores públicos de las entidades identifican datos que pueden ser de interés para la ciudadanía y los publican. 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Identificación externa: Los servidores públicos acogen comentarios y sugerencias de los datos que la ciudadanía desea.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Colaborativa:  Los servidores públicos y la ciudadanía identifican conjuntamente los datos de interés para la creación de valor y formatos en que estos podrían ser presentados</w:t>
      </w:r>
    </w:p>
    <w:p w:rsidR="00000000" w:rsidDel="00000000" w:rsidP="00000000" w:rsidRDefault="00000000" w:rsidRPr="00000000" w14:paraId="0000006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Mencione si se llevaron a cabo reuniones, talleres, consultas u otros, presenciales y no presenciales, así como evidencias de su realización  </w:t>
      </w:r>
    </w:p>
    <w:p w:rsidR="00000000" w:rsidDel="00000000" w:rsidP="00000000" w:rsidRDefault="00000000" w:rsidRPr="00000000" w14:paraId="0000006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253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3"/>
        <w:tblGridChange w:id="0">
          <w:tblGrid>
            <w:gridCol w:w="8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200 palabras)</w:t>
            </w:r>
          </w:p>
          <w:p w:rsidR="00000000" w:rsidDel="00000000" w:rsidP="00000000" w:rsidRDefault="00000000" w:rsidRPr="00000000" w14:paraId="0000006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5.4 Criterios de Innovación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en el siguiente párrafo, si se han introducido y/o producido elementos innovadores adicionales a la publicación de datos en el sitio web, como, por ejemplo:</w:t>
      </w:r>
    </w:p>
    <w:p w:rsidR="00000000" w:rsidDel="00000000" w:rsidP="00000000" w:rsidRDefault="00000000" w:rsidRPr="00000000" w14:paraId="00000075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Uso de dispositivos móviles o nuevas tecnologías de información: los datos pueden ser difundidos y descargados desde dispositivos móviles u otros dispositivos con el uso de las nuevas tecnologías de la información.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Uso de identificadores compartidos: existen identificadores de uso común y compartido entre las entidades públicas y la sociedad para evitar duplicidades: por ejemplo, códigos universales, geo-referenciales, etc.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Compilación colaborativa de datos: las entidades públicas utilizan nuevas formas de compilación de datos que provienen directamente de la fuente, con el uso de nuevas tecnologías de la información. Ejemplo: crowdsourcing.</w:t>
      </w:r>
    </w:p>
    <w:p w:rsidR="00000000" w:rsidDel="00000000" w:rsidP="00000000" w:rsidRDefault="00000000" w:rsidRPr="00000000" w14:paraId="0000007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Citar el sitio web en donde se pueda comprobar la innovación</w:t>
      </w:r>
    </w:p>
    <w:p w:rsidR="00000000" w:rsidDel="00000000" w:rsidP="00000000" w:rsidRDefault="00000000" w:rsidRPr="00000000" w14:paraId="0000007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53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3"/>
        <w:tblGridChange w:id="0">
          <w:tblGrid>
            <w:gridCol w:w="8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200 palabras)</w:t>
            </w:r>
          </w:p>
          <w:p w:rsidR="00000000" w:rsidDel="00000000" w:rsidP="00000000" w:rsidRDefault="00000000" w:rsidRPr="00000000" w14:paraId="0000007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5.5 Criterios de Comunicación e Incidencia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en el siguiente párrafo las acciones llevadas a cabo para la difusión de los datos abiertos, así como su uso por parte de la comunidad, a través de diversas actividades: talleres, capacitación de periodistas (periodismo de datos), jornadas de desarrolladores (hackatones), entre otros.</w:t>
      </w:r>
    </w:p>
    <w:p w:rsidR="00000000" w:rsidDel="00000000" w:rsidP="00000000" w:rsidRDefault="00000000" w:rsidRPr="00000000" w14:paraId="00000085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Citar el sitio web u otros en donde se pueda comprobar dichas acciones de difusión e incidencia pública</w:t>
      </w:r>
    </w:p>
    <w:p w:rsidR="00000000" w:rsidDel="00000000" w:rsidP="00000000" w:rsidRDefault="00000000" w:rsidRPr="00000000" w14:paraId="0000008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253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3"/>
        <w:tblGridChange w:id="0">
          <w:tblGrid>
            <w:gridCol w:w="8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(Máximo 200 palabras)</w:t>
            </w:r>
          </w:p>
          <w:p w:rsidR="00000000" w:rsidDel="00000000" w:rsidP="00000000" w:rsidRDefault="00000000" w:rsidRPr="00000000" w14:paraId="0000008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5.6 Impacto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en el siguiente párrafo el impacto cuantitativo o cualitativo obtenido como producto de la experiencia</w:t>
      </w:r>
    </w:p>
    <w:p w:rsidR="00000000" w:rsidDel="00000000" w:rsidP="00000000" w:rsidRDefault="00000000" w:rsidRPr="00000000" w14:paraId="0000009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253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3"/>
        <w:tblGridChange w:id="0">
          <w:tblGrid>
            <w:gridCol w:w="8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(Máximo 200 palabras)</w:t>
            </w:r>
          </w:p>
          <w:p w:rsidR="00000000" w:rsidDel="00000000" w:rsidP="00000000" w:rsidRDefault="00000000" w:rsidRPr="00000000" w14:paraId="00000093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1418" w:top="1418" w:left="1701" w:right="1701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/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El enlace debe derivar a un sitio web público, que debe estar vigente y disponible desde el momento en el que se efectúa la postulación. No serán aceptados sitios web que requieran usuarios y claves para ingresar a la información pues no cumple con los criterios generales descritos.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left" w:leader="none" w:pos="1134"/>
        <w:tab w:val="left" w:leader="none" w:pos="2865"/>
        <w:tab w:val="center" w:leader="none" w:pos="6804"/>
        <w:tab w:val="left" w:leader="none" w:pos="7088"/>
        <w:tab w:val="left" w:leader="none" w:pos="7797"/>
        <w:tab w:val="right" w:leader="none" w:pos="8505"/>
      </w:tabs>
      <w:spacing w:line="240" w:lineRule="auto"/>
      <w:ind w:left="0" w:hanging="2"/>
      <w:jc w:val="both"/>
      <w:rPr>
        <w:color w:val="000000"/>
      </w:rPr>
    </w:pPr>
    <w:bookmarkStart w:colFirst="0" w:colLast="0" w:name="_heading=h.gjdgxs" w:id="1"/>
    <w:bookmarkEnd w:id="1"/>
    <w:r w:rsidDel="00000000" w:rsidR="00000000" w:rsidRPr="00000000">
      <w:rPr>
        <w:color w:val="000000"/>
        <w:rtl w:val="0"/>
      </w:rPr>
      <w:tab/>
      <w:tab/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3944303</wp:posOffset>
          </wp:positionH>
          <wp:positionV relativeFrom="paragraph">
            <wp:posOffset>-28574</wp:posOffset>
          </wp:positionV>
          <wp:extent cx="1704022" cy="619125"/>
          <wp:effectExtent b="0" l="0" r="0" t="0"/>
          <wp:wrapNone/>
          <wp:docPr id="14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343" l="0" r="0" t="20614"/>
                  <a:stretch>
                    <a:fillRect/>
                  </a:stretch>
                </pic:blipFill>
                <pic:spPr>
                  <a:xfrm>
                    <a:off x="0" y="0"/>
                    <a:ext cx="1704022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0</wp:posOffset>
          </wp:positionV>
          <wp:extent cx="558165" cy="558165"/>
          <wp:effectExtent b="0" l="0" r="0" t="0"/>
          <wp:wrapNone/>
          <wp:docPr id="14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165" cy="5581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color w:val="da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notapie">
    <w:name w:val="footnote text"/>
    <w:basedOn w:val="Normal"/>
    <w:qFormat w:val="1"/>
    <w:rPr>
      <w:sz w:val="20"/>
      <w:szCs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istavistosa-nfasis11" w:customStyle="1">
    <w:name w:val="Lista vistosa - Énfasis 11"/>
    <w:basedOn w:val="Normal"/>
    <w:pPr>
      <w:ind w:left="708"/>
    </w:p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cinsinresolver1" w:customStyle="1">
    <w:name w:val="Mención sin resolver1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s-P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in">
    <w:name w:val="Revision"/>
    <w:hidden w:val="1"/>
    <w:uiPriority w:val="99"/>
    <w:semiHidden w:val="1"/>
    <w:rsid w:val="00530FFB"/>
    <w:rPr>
      <w:position w:val="-1"/>
      <w:lang w:eastAsia="en-US"/>
    </w:rPr>
  </w:style>
  <w:style w:type="paragraph" w:styleId="Prrafodelista">
    <w:name w:val="List Paragraph"/>
    <w:basedOn w:val="Normal"/>
    <w:uiPriority w:val="34"/>
    <w:qFormat w:val="1"/>
    <w:rsid w:val="00530FFB"/>
    <w:pPr>
      <w:ind w:left="720"/>
      <w:contextualSpacing w:val="1"/>
    </w:p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wOVGq1gHnJe/ONlZZ35brJqsg==">CgMxLjAyCWguMzBqMHpsbDIIaC5namRneHM4AHIhMW8xZHFQMVZlUjlvbVFvNUpDRE0xVmZDTEdnRFU4Qmd0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2024-01-24T18:17:00Z</dcterms:created>
  <dc:creator>Caroline Gibu</dc:creator>
</cp:coreProperties>
</file>